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Fonts w:ascii="Georgia" w:cs="Georgia" w:eastAsia="Georgia" w:hAnsi="Georgia"/>
          <w:b w:val="1"/>
          <w:sz w:val="24"/>
          <w:szCs w:val="24"/>
        </w:rPr>
        <w:drawing>
          <wp:inline distB="114300" distT="114300" distL="114300" distR="114300">
            <wp:extent cx="1304925" cy="11325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1325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Austin City Limits Spotlights Grammy-Nominated Breakouts: Noah Kahan and Flor de Toloache</w:t>
      </w:r>
    </w:p>
    <w:p w:rsidR="00000000" w:rsidDel="00000000" w:rsidP="00000000" w:rsidRDefault="00000000" w:rsidRPr="00000000" w14:paraId="00000004">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Fonts w:ascii="Georgia" w:cs="Georgia" w:eastAsia="Georgia" w:hAnsi="Georgia"/>
          <w:b w:val="1"/>
          <w:i w:val="1"/>
          <w:sz w:val="26"/>
          <w:szCs w:val="26"/>
          <w:rtl w:val="0"/>
        </w:rPr>
        <w:t xml:space="preserve">New Episode Premieres February 10</w:t>
      </w:r>
      <w:r w:rsidDel="00000000" w:rsidR="00000000" w:rsidRPr="00000000">
        <w:rPr>
          <w:rFonts w:ascii="Georgia" w:cs="Georgia" w:eastAsia="Georgia" w:hAnsi="Georgia"/>
          <w:b w:val="1"/>
          <w:sz w:val="26"/>
          <w:szCs w:val="26"/>
          <w:rtl w:val="0"/>
        </w:rPr>
        <w:t xml:space="preserve"> </w:t>
      </w:r>
    </w:p>
    <w:p w:rsidR="00000000" w:rsidDel="00000000" w:rsidP="00000000" w:rsidRDefault="00000000" w:rsidRPr="00000000" w14:paraId="00000006">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Watch Live on PBS; Stream Anytime on PBS.org or the PBS App</w:t>
      </w:r>
    </w:p>
    <w:p w:rsidR="00000000" w:rsidDel="00000000" w:rsidP="00000000" w:rsidRDefault="00000000" w:rsidRPr="00000000" w14:paraId="00000008">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b w:val="1"/>
          <w:rtl w:val="0"/>
        </w:rPr>
        <w:t xml:space="preserve">Austin, TX—February 7, 2024—</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a pair of innovative acts making ACL debuts with singular music inspired by their geography and roots. Breakout Vermont singer-songwriter </w:t>
      </w:r>
      <w:r w:rsidDel="00000000" w:rsidR="00000000" w:rsidRPr="00000000">
        <w:rPr>
          <w:rFonts w:ascii="Georgia" w:cs="Georgia" w:eastAsia="Georgia" w:hAnsi="Georgia"/>
          <w:b w:val="1"/>
          <w:rtl w:val="0"/>
        </w:rPr>
        <w:t xml:space="preserve">Noah Kahan</w:t>
      </w:r>
      <w:r w:rsidDel="00000000" w:rsidR="00000000" w:rsidRPr="00000000">
        <w:rPr>
          <w:rFonts w:ascii="Georgia" w:cs="Georgia" w:eastAsia="Georgia" w:hAnsi="Georgia"/>
          <w:rtl w:val="0"/>
        </w:rPr>
        <w:t xml:space="preserve">, nominated for a 2024 Best New Artist Grammy, makes a highly-anticipated debut on the ACL stage with songs from his breakthrough </w:t>
      </w:r>
      <w:r w:rsidDel="00000000" w:rsidR="00000000" w:rsidRPr="00000000">
        <w:rPr>
          <w:rFonts w:ascii="Georgia" w:cs="Georgia" w:eastAsia="Georgia" w:hAnsi="Georgia"/>
          <w:i w:val="1"/>
          <w:rtl w:val="0"/>
        </w:rPr>
        <w:t xml:space="preserve">Stick Season</w:t>
      </w:r>
      <w:r w:rsidDel="00000000" w:rsidR="00000000" w:rsidRPr="00000000">
        <w:rPr>
          <w:rFonts w:ascii="Georgia" w:cs="Georgia" w:eastAsia="Georgia" w:hAnsi="Georgia"/>
          <w:rtl w:val="0"/>
        </w:rPr>
        <w:t xml:space="preserve">; sharing the hour is the groundbreaking all-female mariachi act </w:t>
      </w:r>
      <w:r w:rsidDel="00000000" w:rsidR="00000000" w:rsidRPr="00000000">
        <w:rPr>
          <w:rFonts w:ascii="Georgia" w:cs="Georgia" w:eastAsia="Georgia" w:hAnsi="Georgia"/>
          <w:b w:val="1"/>
          <w:rtl w:val="0"/>
        </w:rPr>
        <w:t xml:space="preserve">Flor de Toloache</w:t>
      </w:r>
      <w:r w:rsidDel="00000000" w:rsidR="00000000" w:rsidRPr="00000000">
        <w:rPr>
          <w:rFonts w:ascii="Georgia" w:cs="Georgia" w:eastAsia="Georgia" w:hAnsi="Georgia"/>
          <w:rtl w:val="0"/>
        </w:rPr>
        <w:t xml:space="preserve">, with numbers from their 2024 Grammy-nominated album </w:t>
      </w:r>
      <w:r w:rsidDel="00000000" w:rsidR="00000000" w:rsidRPr="00000000">
        <w:rPr>
          <w:rFonts w:ascii="Georgia" w:cs="Georgia" w:eastAsia="Georgia" w:hAnsi="Georgia"/>
          <w:i w:val="1"/>
          <w:rtl w:val="0"/>
        </w:rPr>
        <w:t xml:space="preserve">Motherflower</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February 10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2024 marks the </w:t>
      </w:r>
      <w:hyperlink r:id="rId11">
        <w:r w:rsidDel="00000000" w:rsidR="00000000" w:rsidRPr="00000000">
          <w:rPr>
            <w:rFonts w:ascii="Georgia" w:cs="Georgia" w:eastAsia="Georgia" w:hAnsi="Georgia"/>
            <w:color w:val="1155cc"/>
            <w:highlight w:val="white"/>
            <w:u w:val="single"/>
            <w:rtl w:val="0"/>
          </w:rPr>
          <w:t xml:space="preserve">50th Anniversary</w:t>
        </w:r>
      </w:hyperlink>
      <w:r w:rsidDel="00000000" w:rsidR="00000000" w:rsidRPr="00000000">
        <w:rPr>
          <w:rFonts w:ascii="Georgia" w:cs="Georgia" w:eastAsia="Georgia" w:hAnsi="Georgia"/>
          <w:highlight w:val="white"/>
          <w:rtl w:val="0"/>
        </w:rPr>
        <w:t xml:space="preserve"> of the revered music institution, which continues its extraordinary run as the longest-running music television show in history, providing viewers a front-row seat to the best in live performance for an incredible five decades.  A monument to music, ACL has showcased iconic performances from legends and innovators in every genre of popular song for 50 years.  Produced by </w:t>
      </w:r>
      <w:hyperlink r:id="rId12">
        <w:r w:rsidDel="00000000" w:rsidR="00000000" w:rsidRPr="00000000">
          <w:rPr>
            <w:rFonts w:ascii="Georgia" w:cs="Georgia" w:eastAsia="Georgia" w:hAnsi="Georgia"/>
            <w:color w:val="1155cc"/>
            <w:highlight w:val="white"/>
            <w:u w:val="single"/>
            <w:rtl w:val="0"/>
          </w:rPr>
          <w:t xml:space="preserve">Austin PBS</w:t>
        </w:r>
      </w:hyperlink>
      <w:r w:rsidDel="00000000" w:rsidR="00000000" w:rsidRPr="00000000">
        <w:rPr>
          <w:rFonts w:ascii="Georgia" w:cs="Georgia" w:eastAsia="Georgia" w:hAnsi="Georgia"/>
          <w:highlight w:val="white"/>
          <w:rtl w:val="0"/>
        </w:rPr>
        <w:t xml:space="preserve">, and recorded live at ACL’s studio home ACL Live in Austin, Texas, the show remains a required stopping point for the finest acts to deliver stellar performances from the venerable ACL stage. On October 17, 1974, the notoriously TV-shy Willie Nelson taped the pilot episode; the trailblazing series then premiered on PBS in 1975.  This Peabody Award-winning program has earned its place in history and will salute its golden anniversary and incredible legacy with a yearlong celebration featuring archival gems,  all-star tapings, a PBS special, live concerts and much more.</w:t>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Noah Kahan delivers a revelatory ACL debut showcasing highlights from his celebrated </w:t>
      </w:r>
      <w:r w:rsidDel="00000000" w:rsidR="00000000" w:rsidRPr="00000000">
        <w:rPr>
          <w:rFonts w:ascii="Georgia" w:cs="Georgia" w:eastAsia="Georgia" w:hAnsi="Georgia"/>
          <w:i w:val="1"/>
          <w:highlight w:val="white"/>
          <w:rtl w:val="0"/>
        </w:rPr>
        <w:t xml:space="preserve">Stick Season</w:t>
      </w:r>
      <w:r w:rsidDel="00000000" w:rsidR="00000000" w:rsidRPr="00000000">
        <w:rPr>
          <w:rFonts w:ascii="Georgia" w:cs="Georgia" w:eastAsia="Georgia" w:hAnsi="Georgia"/>
          <w:highlight w:val="white"/>
          <w:rtl w:val="0"/>
        </w:rPr>
        <w:t xml:space="preserve">, an album inspired by his rural New England roots. The folk-pop phenomenon is having a banner year, fostering a connection with audiences to become one of 2023’s most talked-about live acts, with sold-out stadium and tour dates throughout 2024. The 27-year-old singer/songwriter/guitarist has struck a chord with his legions of fans through highly relatable songs about contemporary life—viral smashes that erupt into crowd singalongs. Taking the stage backed by his five-piece band, he opens with “All My Love,” a banjo-driven folk number, and the adoring audience sings along to every lyric. Kahan regales the crowd with the stories behind his confessional lyrics and cracks jokes with his signature, self-deprecating humor: “Put your hands up, Austin! Never mind, I don’t like it!” The crowd sings an entire verse themselves on the autobiographical  “Northern Attitude,” a gem containing the lyric “Forgive my northern attitude, I was raised on little light.” Kahan performs the pair of fan-favorite career highlights that launched his meteoric rise: the platinum breakthrough smash “Dial Drunk,” and the song that he says, “changed my life,” the double-platinum smash “Stick Season,” showcasing his deft blend of cathartic blast and ardent earnestness to full effect.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The New York City-based </w:t>
      </w:r>
      <w:r w:rsidDel="00000000" w:rsidR="00000000" w:rsidRPr="00000000">
        <w:rPr>
          <w:rFonts w:ascii="Georgia" w:cs="Georgia" w:eastAsia="Georgia" w:hAnsi="Georgia"/>
          <w:rtl w:val="0"/>
        </w:rPr>
        <w:t xml:space="preserve">Flor de Toloache seamlessly combines tradition and innovation, breaking boundaries with their edgy, versatile, and feminist perspective on classic Latin American music. Musical partners and dual vocalists Shae Fiol and Mireya Ramos lead the all-female Latin Grammy-winning combo, which features Ramos on violin and Fiol on vihuela, joined by a trio of virtuosos on trumpet, guitar and traditional mariachi guitarron. The trailblazing group defies cultural and gender norms, becoming the first female act to receive a Latin Grammy Award in the Best Ranchero/Mariachi Album category. With white flowers in their hair and red roses adorning their mic stands, they </w:t>
      </w:r>
      <w:r w:rsidDel="00000000" w:rsidR="00000000" w:rsidRPr="00000000">
        <w:rPr>
          <w:rFonts w:ascii="Georgia" w:cs="Georgia" w:eastAsia="Georgia" w:hAnsi="Georgia"/>
          <w:highlight w:val="white"/>
          <w:rtl w:val="0"/>
        </w:rPr>
        <w:t xml:space="preserve">perform a spellbinding set with their latest album </w:t>
      </w:r>
      <w:r w:rsidDel="00000000" w:rsidR="00000000" w:rsidRPr="00000000">
        <w:rPr>
          <w:rFonts w:ascii="Georgia" w:cs="Georgia" w:eastAsia="Georgia" w:hAnsi="Georgia"/>
          <w:i w:val="1"/>
          <w:highlight w:val="white"/>
          <w:rtl w:val="0"/>
        </w:rPr>
        <w:t xml:space="preserve">Motherflower</w:t>
      </w:r>
      <w:r w:rsidDel="00000000" w:rsidR="00000000" w:rsidRPr="00000000">
        <w:rPr>
          <w:rFonts w:ascii="Georgia" w:cs="Georgia" w:eastAsia="Georgia" w:hAnsi="Georgia"/>
          <w:highlight w:val="white"/>
          <w:rtl w:val="0"/>
        </w:rPr>
        <w:t xml:space="preserve"> as the centerpiece. </w:t>
      </w:r>
      <w:r w:rsidDel="00000000" w:rsidR="00000000" w:rsidRPr="00000000">
        <w:rPr>
          <w:rFonts w:ascii="Georgia" w:cs="Georgia" w:eastAsia="Georgia" w:hAnsi="Georgia"/>
          <w:rtl w:val="0"/>
        </w:rPr>
        <w:t xml:space="preserve">Grammy-winning producer and </w:t>
      </w:r>
      <w:r w:rsidDel="00000000" w:rsidR="00000000" w:rsidRPr="00000000">
        <w:rPr>
          <w:rFonts w:ascii="Georgia" w:cs="Georgia" w:eastAsia="Georgia" w:hAnsi="Georgia"/>
          <w:rtl w:val="0"/>
        </w:rPr>
        <w:t xml:space="preserve">Black Pumas leader Adrian Quesada, a fan, makes a guest appearance on guitar for the luminous heartbreak ballad “Soledad” (Loneliness). Fiol shifts between English and Spanish language easily on “Let Down,” a highlight from their 2014 debut, a fusion of ranchera, blues and R&amp;B, and a stunning showcase for her impassioned vocals. </w:t>
      </w:r>
      <w:r w:rsidDel="00000000" w:rsidR="00000000" w:rsidRPr="00000000">
        <w:rPr>
          <w:rFonts w:ascii="Georgia" w:cs="Georgia" w:eastAsia="Georgia" w:hAnsi="Georgia"/>
          <w:rtl w:val="0"/>
        </w:rPr>
        <w:t xml:space="preserve">Ramos takes the lead vocal on “Regresa Ya,” captivating on the beautiful, self-penned ranchera. </w:t>
      </w:r>
      <w:r w:rsidDel="00000000" w:rsidR="00000000" w:rsidRPr="00000000">
        <w:rPr>
          <w:rFonts w:ascii="Georgia" w:cs="Georgia" w:eastAsia="Georgia" w:hAnsi="Georgia"/>
          <w:rtl w:val="0"/>
        </w:rPr>
        <w:t xml:space="preserve">Putting tradition aside, the quintet displays their remarkable range and stunning musicianship with a dazzling medley of contemporary rock songs, incorporating riffs, melodies and lyrics from Nirvana, Led Zeppelin, No Doubt and Rage Against the Machine for an epic close. </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Noah Kahan setlist:</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All My Love</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Northern Attitude</w:t>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Dial Drunk</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Stick Season</w:t>
      </w:r>
    </w:p>
    <w:p w:rsidR="00000000" w:rsidDel="00000000" w:rsidP="00000000" w:rsidRDefault="00000000" w:rsidRPr="00000000" w14:paraId="00000014">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Homesick</w:t>
      </w:r>
    </w:p>
    <w:p w:rsidR="00000000" w:rsidDel="00000000" w:rsidP="00000000" w:rsidRDefault="00000000" w:rsidRPr="00000000" w14:paraId="00000015">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Flor de Toloache setlist:</w:t>
      </w:r>
    </w:p>
    <w:p w:rsidR="00000000" w:rsidDel="00000000" w:rsidP="00000000" w:rsidRDefault="00000000" w:rsidRPr="00000000" w14:paraId="00000017">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Brinda Por Ella</w:t>
      </w:r>
    </w:p>
    <w:p w:rsidR="00000000" w:rsidDel="00000000" w:rsidP="00000000" w:rsidRDefault="00000000" w:rsidRPr="00000000" w14:paraId="0000001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Soledad</w:t>
      </w:r>
    </w:p>
    <w:p w:rsidR="00000000" w:rsidDel="00000000" w:rsidP="00000000" w:rsidRDefault="00000000" w:rsidRPr="00000000" w14:paraId="0000001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Let Down</w:t>
      </w:r>
    </w:p>
    <w:p w:rsidR="00000000" w:rsidDel="00000000" w:rsidP="00000000" w:rsidRDefault="00000000" w:rsidRPr="00000000" w14:paraId="0000001A">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Regresa Ya</w:t>
      </w:r>
    </w:p>
    <w:p w:rsidR="00000000" w:rsidDel="00000000" w:rsidP="00000000" w:rsidRDefault="00000000" w:rsidRPr="00000000" w14:paraId="0000001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“Nirvana medley”: Killing in the Name/ Come As You Are/ Smells Like Teen Spirit/ Kashmir/ All of My Love/ No Sigas (Don’t Speak)</w:t>
      </w:r>
    </w:p>
    <w:p w:rsidR="00000000" w:rsidDel="00000000" w:rsidP="00000000" w:rsidRDefault="00000000" w:rsidRPr="00000000" w14:paraId="0000001C">
      <w:pP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49 Broadcast Schedule (upcoming)</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1E">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10</w:t>
        <w:tab/>
        <w:t xml:space="preserve">Noah Kahan | Flor de Toloache</w:t>
      </w:r>
    </w:p>
    <w:p w:rsidR="00000000" w:rsidDel="00000000" w:rsidP="00000000" w:rsidRDefault="00000000" w:rsidRPr="00000000" w14:paraId="0000001F">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17 </w:t>
        <w:tab/>
        <w:t xml:space="preserve">Alanis Morissette</w:t>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24</w:t>
        <w:tab/>
        <w:t xml:space="preserve">Bonnie Raitt</w:t>
      </w:r>
    </w:p>
    <w:p w:rsidR="00000000" w:rsidDel="00000000" w:rsidP="00000000" w:rsidRDefault="00000000" w:rsidRPr="00000000" w14:paraId="00000021">
      <w:pPr>
        <w:jc w:val="both"/>
        <w:rPr>
          <w:rFonts w:ascii="Georgia" w:cs="Georgia" w:eastAsia="Georgia" w:hAnsi="Georgia"/>
        </w:rPr>
      </w:pPr>
      <w:r w:rsidDel="00000000" w:rsidR="00000000" w:rsidRPr="00000000">
        <w:rPr>
          <w:rFonts w:ascii="Georgia" w:cs="Georgia" w:eastAsia="Georgia" w:hAnsi="Georgia"/>
          <w:b w:val="1"/>
          <w:rtl w:val="0"/>
        </w:rPr>
        <w:t xml:space="preserve">March 2</w:t>
        <w:tab/>
        <w:t xml:space="preserve">Austin City Limits 9th Annual Hall of Fame Honors Trisha Yearwood</w:t>
      </w:r>
      <w:r w:rsidDel="00000000" w:rsidR="00000000" w:rsidRPr="00000000">
        <w:rPr>
          <w:rtl w:val="0"/>
        </w:rPr>
      </w:r>
    </w:p>
    <w:p w:rsidR="00000000" w:rsidDel="00000000" w:rsidP="00000000" w:rsidRDefault="00000000" w:rsidRPr="00000000" w14:paraId="000000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50 tapings, live streams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4">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5">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ACL celebrates 50 years as an American music institution in 2024.</w:t>
        <w:tab/>
        <w:t xml:space="preserve"> </w:t>
      </w:r>
    </w:p>
    <w:p w:rsidR="00000000" w:rsidDel="00000000" w:rsidP="00000000" w:rsidRDefault="00000000" w:rsidRPr="00000000" w14:paraId="0000002A">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w:t>
      </w:r>
      <w:hyperlink r:id="rId23">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C">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D">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E">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2F">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0">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1">
      <w:pPr>
        <w:spacing w:line="276" w:lineRule="auto"/>
        <w:rPr>
          <w:rFonts w:ascii="Georgia" w:cs="Georgia" w:eastAsia="Georgia" w:hAnsi="Georgia"/>
        </w:rPr>
      </w:pPr>
      <w:hyperlink r:id="rId2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3">
      <w:pP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22" Type="http://schemas.openxmlformats.org/officeDocument/2006/relationships/hyperlink" Target="http://acltv.com/press-room/" TargetMode="External"/><Relationship Id="rId21" Type="http://schemas.openxmlformats.org/officeDocument/2006/relationships/hyperlink" Target="https://www.youtube.com/channel/UCLrFzxcwT97ROXn3JAiDIqQ" TargetMode="External"/><Relationship Id="rId24" Type="http://schemas.openxmlformats.org/officeDocument/2006/relationships/hyperlink" Target="https://acltv.com/" TargetMode="External"/><Relationship Id="rId23" Type="http://schemas.openxmlformats.org/officeDocument/2006/relationships/hyperlink" Target="http://austin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25"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 Id="rId11" Type="http://schemas.openxmlformats.org/officeDocument/2006/relationships/hyperlink" Target="https://www.aclturns50.com/" TargetMode="External"/><Relationship Id="rId10" Type="http://schemas.openxmlformats.org/officeDocument/2006/relationships/hyperlink" Target="https://twitter.com/acltv" TargetMode="External"/><Relationship Id="rId13" Type="http://schemas.openxmlformats.org/officeDocument/2006/relationships/hyperlink" Target="https://video.austinpbs.org/show/austin-city-limits/" TargetMode="External"/><Relationship Id="rId12" Type="http://schemas.openxmlformats.org/officeDocument/2006/relationships/hyperlink" Target="https://austinpbs.org/"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19" Type="http://schemas.openxmlformats.org/officeDocument/2006/relationships/hyperlink" Target="https://www.tiktok.com/@austincitylimitstv?lang=en" TargetMode="External"/><Relationship Id="rId18" Type="http://schemas.openxmlformats.org/officeDocument/2006/relationships/hyperlink" Target="https://www.instagram.com/acltv/?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