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AUSTIN CITY LIMITS SHOWCASES CONTEMPORARY COUNTRY: MARGO PRICE AND HAYES CARLL</w:t>
      </w:r>
      <w:r w:rsidDel="00000000" w:rsidR="00000000" w:rsidRPr="00000000">
        <w:rPr>
          <w:rFonts w:ascii="Georgia" w:cs="Georgia" w:eastAsia="Georgia" w:hAnsi="Georgia"/>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rtl w:val="0"/>
        </w:rPr>
        <w:t xml:space="preserve">New Episode Airs January 21st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TX—January 19,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presents a captivating hour with two of contemporary country music’s brightest: </w:t>
      </w:r>
      <w:hyperlink r:id="rId7">
        <w:r w:rsidDel="00000000" w:rsidR="00000000" w:rsidRPr="00000000">
          <w:rPr>
            <w:rFonts w:ascii="Georgia" w:cs="Georgia" w:eastAsia="Georgia" w:hAnsi="Georgia"/>
            <w:color w:val="1155cc"/>
            <w:u w:val="single"/>
            <w:rtl w:val="0"/>
          </w:rPr>
          <w:t xml:space="preserve">Margo Price</w:t>
        </w:r>
      </w:hyperlink>
      <w:r w:rsidDel="00000000" w:rsidR="00000000" w:rsidRPr="00000000">
        <w:rPr>
          <w:rFonts w:ascii="Georgia" w:cs="Georgia" w:eastAsia="Georgia" w:hAnsi="Georgia"/>
          <w:rtl w:val="0"/>
        </w:rPr>
        <w:t xml:space="preserve"> in her ACL debut and </w:t>
      </w:r>
      <w:hyperlink r:id="rId8">
        <w:r w:rsidDel="00000000" w:rsidR="00000000" w:rsidRPr="00000000">
          <w:rPr>
            <w:rFonts w:ascii="Georgia" w:cs="Georgia" w:eastAsia="Georgia" w:hAnsi="Georgia"/>
            <w:color w:val="1155cc"/>
            <w:highlight w:val="white"/>
            <w:u w:val="single"/>
            <w:rtl w:val="0"/>
          </w:rPr>
          <w:t xml:space="preserve">Hayes Carll</w:t>
        </w:r>
      </w:hyperlink>
      <w:r w:rsidDel="00000000" w:rsidR="00000000" w:rsidRPr="00000000">
        <w:rPr>
          <w:rFonts w:ascii="Georgia" w:cs="Georgia" w:eastAsia="Georgia" w:hAnsi="Georgia"/>
          <w:rtl w:val="0"/>
        </w:rPr>
        <w:t xml:space="preserve"> making a return appearance.  The new installment premieres </w:t>
      </w:r>
      <w:r w:rsidDel="00000000" w:rsidR="00000000" w:rsidRPr="00000000">
        <w:rPr>
          <w:rFonts w:ascii="Georgia" w:cs="Georgia" w:eastAsia="Georgia" w:hAnsi="Georgia"/>
          <w:b w:val="1"/>
          <w:rtl w:val="0"/>
        </w:rPr>
        <w:t xml:space="preserve">Saturday, January 21st at 8pm CT/9pm ET</w:t>
      </w:r>
      <w:r w:rsidDel="00000000" w:rsidR="00000000" w:rsidRPr="00000000">
        <w:rPr>
          <w:rFonts w:ascii="Georgia" w:cs="Georgia" w:eastAsia="Georgia" w:hAnsi="Georgia"/>
          <w:rtl w:val="0"/>
        </w:rPr>
        <w:t xml:space="preserve"> as part of the series’ Season 42.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airs weekly on PBS stations nationwide </w:t>
      </w:r>
      <w:hyperlink r:id="rId9">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1">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Rising star Margo Price had a banner 2016 with the release of her acclaimed solo debut </w:t>
      </w:r>
      <w:r w:rsidDel="00000000" w:rsidR="00000000" w:rsidRPr="00000000">
        <w:rPr>
          <w:rFonts w:ascii="Georgia" w:cs="Georgia" w:eastAsia="Georgia" w:hAnsi="Georgia"/>
          <w:i w:val="1"/>
          <w:rtl w:val="0"/>
        </w:rPr>
        <w:t xml:space="preserve">Midwest Farmer’s Daughter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Recorded at Memphis’ fabled Sun Studios and released by Jack White’s Third Man Records, the album topped critics’ year-end-best lists with </w:t>
      </w:r>
      <w:r w:rsidDel="00000000" w:rsidR="00000000" w:rsidRPr="00000000">
        <w:rPr>
          <w:rFonts w:ascii="Georgia" w:cs="Georgia" w:eastAsia="Georgia" w:hAnsi="Georgia"/>
          <w:i w:val="1"/>
          <w:rtl w:val="0"/>
        </w:rPr>
        <w:t xml:space="preserve">Rolling Stone </w:t>
      </w:r>
      <w:r w:rsidDel="00000000" w:rsidR="00000000" w:rsidRPr="00000000">
        <w:rPr>
          <w:rFonts w:ascii="Georgia" w:cs="Georgia" w:eastAsia="Georgia" w:hAnsi="Georgia"/>
          <w:rtl w:val="0"/>
        </w:rPr>
        <w:t xml:space="preserve">raving, “It's the kind of record that hits you in the gut: staggeringly honest, as devastating as it is joyful and whip-smart.”  Opening her stellar ACL debut with the honky tonk comeuppance “About To Find Out,” Price puts a fresh spin on classic Nashville with her sharp songwriting, steely vocals and dynamic road-tested live persona.  “Hands of Time,” about a heartbreaking run of bad luck, leads into the crowd-pleasing set-closer “Hurtin’ (On the Bottle),” as Price ventures into the audience surrounded by newfound fans.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“A wry Texas troubadour with a knack for crooked grace and a clever turn of phrase” (</w:t>
      </w:r>
      <w:r w:rsidDel="00000000" w:rsidR="00000000" w:rsidRPr="00000000">
        <w:rPr>
          <w:rFonts w:ascii="Georgia" w:cs="Georgia" w:eastAsia="Georgia" w:hAnsi="Georgia"/>
          <w:i w:val="1"/>
          <w:rtl w:val="0"/>
        </w:rPr>
        <w:t xml:space="preserve">New York Times</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Hayes Carll returns for his first appearance since his ACL debut in 2010.  The native Texan recalls his troubadour roots with his first album in five years, the critically acclaimed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Lovers and Leavers</w:t>
      </w:r>
      <w:r w:rsidDel="00000000" w:rsidR="00000000" w:rsidRPr="00000000">
        <w:rPr>
          <w:rFonts w:ascii="Georgia" w:cs="Georgia" w:eastAsia="Georgia" w:hAnsi="Georgia"/>
          <w:rtl w:val="0"/>
        </w:rPr>
        <w:t xml:space="preserve">, after having garnered a 2016 Grammy nomination for Best Country Song.  Carll dedicates the artful set-opener “Sake of the Song” to a creative influence, the late, great Guy Clark, calling him the “lion of the songwriting world.”  His na</w:t>
      </w:r>
      <w:r w:rsidDel="00000000" w:rsidR="00000000" w:rsidRPr="00000000">
        <w:rPr>
          <w:rFonts w:ascii="Georgia" w:cs="Georgia" w:eastAsia="Georgia" w:hAnsi="Georgia"/>
          <w:rtl w:val="0"/>
        </w:rPr>
        <w:t xml:space="preserve">tural gift for storytelling is evident in his startlingly personal six-song set, with its highlight “The Magic Kid,” a song about his son’s determination to be a magician, stealing the show and demonstrating Carll’s own brand of magic.  He reaches back to his 2005 breakthrough </w:t>
      </w:r>
      <w:r w:rsidDel="00000000" w:rsidR="00000000" w:rsidRPr="00000000">
        <w:rPr>
          <w:rFonts w:ascii="Georgia" w:cs="Georgia" w:eastAsia="Georgia" w:hAnsi="Georgia"/>
          <w:i w:val="1"/>
          <w:rtl w:val="0"/>
        </w:rPr>
        <w:t xml:space="preserve">Little Rock</w:t>
      </w:r>
      <w:r w:rsidDel="00000000" w:rsidR="00000000" w:rsidRPr="00000000">
        <w:rPr>
          <w:rFonts w:ascii="Georgia" w:cs="Georgia" w:eastAsia="Georgia" w:hAnsi="Georgia"/>
          <w:rtl w:val="0"/>
        </w:rPr>
        <w:t xml:space="preserve"> to close out the set, showcasing </w:t>
      </w:r>
      <w:r w:rsidDel="00000000" w:rsidR="00000000" w:rsidRPr="00000000">
        <w:rPr>
          <w:rFonts w:ascii="Georgia" w:cs="Georgia" w:eastAsia="Georgia" w:hAnsi="Georgia"/>
          <w:rtl w:val="0"/>
        </w:rPr>
        <w:t xml:space="preserve">the fascinating and fearless evolution of a songwriting giant.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“If you’re not a fan of Nashville’s Pop Country trends, this show will be a breath of fresh air,” says longtime ACL executive producer Terry Lickona. “Margo writes and sings with a classic country touch, but what she writes </w:t>
      </w:r>
      <w:r w:rsidDel="00000000" w:rsidR="00000000" w:rsidRPr="00000000">
        <w:rPr>
          <w:rFonts w:ascii="Georgia" w:cs="Georgia" w:eastAsia="Georgia" w:hAnsi="Georgia"/>
          <w:i w:val="1"/>
          <w:rtl w:val="0"/>
        </w:rPr>
        <w:t xml:space="preserve">about</w:t>
      </w:r>
      <w:r w:rsidDel="00000000" w:rsidR="00000000" w:rsidRPr="00000000">
        <w:rPr>
          <w:rFonts w:ascii="Georgia" w:cs="Georgia" w:eastAsia="Georgia" w:hAnsi="Georgia"/>
          <w:rtl w:val="0"/>
        </w:rPr>
        <w:t xml:space="preserve"> totally speaks to today. Hayes carries on the proud tradition of Texas songwriters, and this is his best work to date.”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Margo Price Setlist:</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ABOUT TO FIND OUT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LEARNING TO LOSE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DESPERATE AND DEPRESSED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HANDS OF TIME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HURTIN' (ON THE BOTTLE)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Hayes Carll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SAKE OF THE SONG</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MAGIC KID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LOVE IS SO EASY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LOVE THAT WE NEED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LONG WAY HOME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WISH I HADN’T STAYED SO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2017 Broadcast Schedule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28</w:t>
        <w:tab/>
        <w:tab/>
        <w:t xml:space="preserve">Band of Horses | Parker Millsap</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4</w:t>
        <w:tab/>
        <w:tab/>
        <w:t xml:space="preserve">CeCe Winans | St. Paul &amp; The Broken Bones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11</w:t>
        <w:tab/>
        <w:tab/>
        <w:t xml:space="preserve">Foals | Alejandro Escovedo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Viewers can visit </w:t>
      </w:r>
      <w:hyperlink r:id="rId12">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For images and episode information, visit Austin City Limits press room at </w:t>
      </w:r>
      <w:hyperlink r:id="rId13">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4">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5">
        <w:r w:rsidDel="00000000" w:rsidR="00000000" w:rsidRPr="00000000">
          <w:rPr>
            <w:rFonts w:ascii="Georgia" w:cs="Georgia" w:eastAsia="Georgia" w:hAnsi="Georgia"/>
            <w:color w:val="1155cc"/>
            <w:u w:val="single"/>
            <w:rtl w:val="0"/>
          </w:rPr>
          <w:t xml:space="preserve">maureen@coakleypress.com</w:t>
        </w:r>
      </w:hyperlink>
      <w:hyperlink r:id="rId16">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pbs.org/austincitylimits" TargetMode="External"/><Relationship Id="rId13" Type="http://schemas.openxmlformats.org/officeDocument/2006/relationships/hyperlink" Target="http://acltv.com/press-ro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wp-content/themes/austincitylimits/schedule.html" TargetMode="External"/><Relationship Id="rId15" Type="http://schemas.openxmlformats.org/officeDocument/2006/relationships/hyperlink" Target="mailto:maureen@coakleypress.com" TargetMode="External"/><Relationship Id="rId14" Type="http://schemas.openxmlformats.org/officeDocument/2006/relationships/hyperlink" Target="http://acltv.com/" TargetMode="External"/><Relationship Id="rId16"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margo-price/" TargetMode="External"/><Relationship Id="rId8" Type="http://schemas.openxmlformats.org/officeDocument/2006/relationships/hyperlink" Target="http://acltv.com/artist/hayes-carll/" TargetMode="External"/></Relationships>
</file>