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AUSTIN CITY LIMITS DOUBLE-BILL: FLORENCE + THE MACHINE &amp; ANDRA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6"/>
          <w:szCs w:val="26"/>
          <w:rtl w:val="0"/>
        </w:rPr>
        <w:t xml:space="preserve">New Episode Premieres October 22 on PBS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TX—October 20,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breathtaking hour with two of today’s most inspirational acts: </w:t>
      </w:r>
      <w:hyperlink r:id="rId7">
        <w:r w:rsidDel="00000000" w:rsidR="00000000" w:rsidRPr="00000000">
          <w:rPr>
            <w:rFonts w:ascii="Georgia" w:cs="Georgia" w:eastAsia="Georgia" w:hAnsi="Georgia"/>
            <w:color w:val="1155cc"/>
            <w:u w:val="single"/>
            <w:rtl w:val="0"/>
          </w:rPr>
          <w:t xml:space="preserve">Florence + the Machine</w:t>
        </w:r>
      </w:hyperlink>
      <w:r w:rsidDel="00000000" w:rsidR="00000000" w:rsidRPr="00000000">
        <w:rPr>
          <w:rFonts w:ascii="Georgia" w:cs="Georgia" w:eastAsia="Georgia" w:hAnsi="Georgia"/>
          <w:rtl w:val="0"/>
        </w:rPr>
        <w:t xml:space="preserve"> in their return appearance and </w:t>
      </w:r>
      <w:hyperlink r:id="rId8">
        <w:r w:rsidDel="00000000" w:rsidR="00000000" w:rsidRPr="00000000">
          <w:rPr>
            <w:rFonts w:ascii="Georgia" w:cs="Georgia" w:eastAsia="Georgia" w:hAnsi="Georgia"/>
            <w:color w:val="1155cc"/>
            <w:u w:val="single"/>
            <w:rtl w:val="0"/>
          </w:rPr>
          <w:t xml:space="preserve">Andra Day</w:t>
        </w:r>
      </w:hyperlink>
      <w:r w:rsidDel="00000000" w:rsidR="00000000" w:rsidRPr="00000000">
        <w:rPr>
          <w:rFonts w:ascii="Georgia" w:cs="Georgia" w:eastAsia="Georgia" w:hAnsi="Georgia"/>
          <w:rtl w:val="0"/>
        </w:rPr>
        <w:t xml:space="preserve"> in a standout ACL debut.  The new installment airs </w:t>
      </w:r>
      <w:r w:rsidDel="00000000" w:rsidR="00000000" w:rsidRPr="00000000">
        <w:rPr>
          <w:rFonts w:ascii="Georgia" w:cs="Georgia" w:eastAsia="Georgia" w:hAnsi="Georgia"/>
          <w:b w:val="1"/>
          <w:rtl w:val="0"/>
        </w:rPr>
        <w:t xml:space="preserve">October 22nd at 8pm CT/9pm ET</w:t>
      </w:r>
      <w:r w:rsidDel="00000000" w:rsidR="00000000" w:rsidRPr="00000000">
        <w:rPr>
          <w:rFonts w:ascii="Georgia" w:cs="Georgia" w:eastAsia="Georgia" w:hAnsi="Georgia"/>
          <w:rtl w:val="0"/>
        </w:rPr>
        <w:t xml:space="preserve"> as part of ACL’s new Season 42.  The program airs weekly on PBS stations nationwide (check local listings for times) and full episodes are made available online for a limited time at</w:t>
      </w:r>
      <w:r w:rsidDel="00000000" w:rsidR="00000000" w:rsidRPr="00000000">
        <w:rPr>
          <w:rFonts w:ascii="Georgia" w:cs="Georgia" w:eastAsia="Georgia" w:hAnsi="Georgia"/>
          <w:rtl w:val="0"/>
        </w:rPr>
        <w:t xml:space="preserve">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0">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1">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It’s been over five years since UK hitmakers Florence + the Machine first-appeared on the ACL stage.  Now international superstars and one of rock’s biggest live acts, the unstoppable band make a triumphant return with a high-energy, buoyant five-song set.  Dynamic leader Florence Welch dances barefoot across the stage performing songs from their recent, chart-topping LP </w:t>
      </w:r>
      <w:r w:rsidDel="00000000" w:rsidR="00000000" w:rsidRPr="00000000">
        <w:rPr>
          <w:rFonts w:ascii="Georgia" w:cs="Georgia" w:eastAsia="Georgia" w:hAnsi="Georgia"/>
          <w:i w:val="1"/>
          <w:rtl w:val="0"/>
        </w:rPr>
        <w:t xml:space="preserve">How Big, How Blue, How Beautiful</w:t>
      </w:r>
      <w:r w:rsidDel="00000000" w:rsidR="00000000" w:rsidRPr="00000000">
        <w:rPr>
          <w:rFonts w:ascii="Georgia" w:cs="Georgia" w:eastAsia="Georgia" w:hAnsi="Georgia"/>
          <w:rtl w:val="0"/>
        </w:rPr>
        <w:t xml:space="preserve">.  Her knockout vocals and remarkable rapport with fans captivate throughout as she enlists the crowd as a “hungover choir of angels” for the Grammy-nominated “Shake It Out” from 2011’s </w:t>
      </w:r>
      <w:r w:rsidDel="00000000" w:rsidR="00000000" w:rsidRPr="00000000">
        <w:rPr>
          <w:rFonts w:ascii="Georgia" w:cs="Georgia" w:eastAsia="Georgia" w:hAnsi="Georgia"/>
          <w:i w:val="1"/>
          <w:rtl w:val="0"/>
        </w:rPr>
        <w:t xml:space="preserve">Ceremonials</w:t>
      </w:r>
      <w:r w:rsidDel="00000000" w:rsidR="00000000" w:rsidRPr="00000000">
        <w:rPr>
          <w:rFonts w:ascii="Georgia" w:cs="Georgia" w:eastAsia="Georgia" w:hAnsi="Georgia"/>
          <w:rtl w:val="0"/>
        </w:rPr>
        <w:t xml:space="preserve">, closing with a rapturous performance of the band’s 2009 breakthrough smash, the anthemic “Dog Days Are Over.”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"Florence brings a unique performance art to all of her shows, and she took it to a new level this night,” says ACL executive producer Terry Lickona.  “She went out of her way to establish a real connection with her audience, and at times the fans seemed to be as much a part of the show as she was. It's very magical to watch it happen in real time."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Rising star </w:t>
      </w:r>
      <w:r w:rsidDel="00000000" w:rsidR="00000000" w:rsidRPr="00000000">
        <w:rPr>
          <w:rFonts w:ascii="Georgia" w:cs="Georgia" w:eastAsia="Georgia" w:hAnsi="Georgia"/>
          <w:rtl w:val="0"/>
        </w:rPr>
        <w:t xml:space="preserve">Andra Day dazzles with her unique mix of R&amp;B, soul and jazz in her first ACL outing, performing songs from her Grammy-nominated debut </w:t>
      </w:r>
      <w:r w:rsidDel="00000000" w:rsidR="00000000" w:rsidRPr="00000000">
        <w:rPr>
          <w:rFonts w:ascii="Georgia" w:cs="Georgia" w:eastAsia="Georgia" w:hAnsi="Georgia"/>
          <w:i w:val="1"/>
          <w:rtl w:val="0"/>
        </w:rPr>
        <w:t xml:space="preserve">Cheers to the Fall</w:t>
      </w:r>
      <w:r w:rsidDel="00000000" w:rsidR="00000000" w:rsidRPr="00000000">
        <w:rPr>
          <w:rFonts w:ascii="Georgia" w:cs="Georgia" w:eastAsia="Georgia" w:hAnsi="Georgia"/>
          <w:rtl w:val="0"/>
        </w:rPr>
        <w:t xml:space="preserve">.  A singer with astounding vocal range, she showcases her powerhouse vocals in a stellar, four-song set.  The performance turns topical as Day addresses the events of the Orlando tragedy (her taping was the same day) and dedicates her anthem of resilience “Rise Up” to the victims and their families.  In a raw, emotionally cathartic moment, she asks the audience to join her in song sending healing energy in the hopes that the families might feel some comfort.  Closing with a cover of Queen’s “I Want It All,” altering the original’s rock arrangement into a pleading blues ballad, the song brings the singer to her knees and the audience to their feet.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"It was the day of the Orlando tragedy, and emotions were already running high,” says Lickona.  “Andra's powerful performance reminded us all that music can be a universal healer and a force for good. When she sang 'Rise Up,' there was hardly a dry eye in the house."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Florence + the Machine setlist:</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DELILAH</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QUEEN OF PEACE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WHAT KIND OF MAN</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SHAKE IT OUT</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DOG DAYS ARE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Andra Day setlist:</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GOLD</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CITY BURNS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RISE UP</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I WANT IT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42 | 2016 Fall Broadcast Schedule</w:t>
      </w:r>
      <w:r w:rsidDel="00000000" w:rsidR="00000000" w:rsidRPr="00000000">
        <w:rPr>
          <w:rFonts w:ascii="Georgia" w:cs="Georgia" w:eastAsia="Georgia" w:hAnsi="Georgia"/>
          <w:rtl w:val="0"/>
        </w:rPr>
        <w:t xml:space="preserve"> (seven additional shows to be announced)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1 </w:t>
        <w:tab/>
        <w:t xml:space="preserve">   Paul Simon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8 </w:t>
        <w:tab/>
        <w:t xml:space="preserve">   James Bay / Rhiannon Giddens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15    Robert Plant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22</w:t>
        <w:tab/>
        <w:t xml:space="preserve">   Florence + The Machine / Andra Day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29    Iggy Pop</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5     Natalia Lafourcade / Grupo Fantasma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12   My Morning Jacket / Ben Harper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19   ACL Presents: Americana Music Festival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The complete line-up for the full 14-week season, including seven new episodes to air beginning January 2017, will be announced at a later date. Check the news section of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additional episode updates.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3">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4">
        <w:r w:rsidDel="00000000" w:rsidR="00000000" w:rsidRPr="00000000">
          <w:rPr>
            <w:rFonts w:ascii="Georgia" w:cs="Georgia" w:eastAsia="Georgia" w:hAnsi="Georgia"/>
            <w:color w:val="1155cc"/>
            <w:u w:val="single"/>
            <w:rtl w:val="0"/>
          </w:rPr>
          <w:t xml:space="preserve">maureen@coakleypress.com</w:t>
        </w:r>
      </w:hyperlink>
      <w:hyperlink r:id="rId15">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acltv.com/" TargetMode="External"/><Relationship Id="rId13" Type="http://schemas.openxmlformats.org/officeDocument/2006/relationships/hyperlink" Target="http://acltv.c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bs.org/austincitylimits" TargetMode="External"/><Relationship Id="rId15" Type="http://schemas.openxmlformats.org/officeDocument/2006/relationships/hyperlink" Target="mailto:maureen@coakleypress.com" TargetMode="External"/><Relationship Id="rId14" Type="http://schemas.openxmlformats.org/officeDocument/2006/relationships/hyperlink" Target="mailto:maureen@coakleypress.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florence-the-machine/" TargetMode="External"/><Relationship Id="rId8" Type="http://schemas.openxmlformats.org/officeDocument/2006/relationships/hyperlink" Target="http://acltv.com/artist/andra-day/" TargetMode="External"/></Relationships>
</file>