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252538" cy="1003807"/>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252538" cy="100380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AUSTIN CITY LIMITS PRESENTS A JOYFUL HOUR WITH WORLD MUSIC ICON ANGELIQUE KIDJO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New Installment Premieres January 23rd on PBS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TX—January 21, 2016—</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 joyous, irresistible hour with international superstar </w:t>
      </w:r>
      <w:hyperlink r:id="rId7">
        <w:r w:rsidDel="00000000" w:rsidR="00000000" w:rsidRPr="00000000">
          <w:rPr>
            <w:rFonts w:ascii="Georgia" w:cs="Georgia" w:eastAsia="Georgia" w:hAnsi="Georgia"/>
            <w:color w:val="1155cc"/>
            <w:u w:val="single"/>
            <w:rtl w:val="0"/>
          </w:rPr>
          <w:t xml:space="preserve">Angélique Kidjo</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making her highly-anticipated ACL debut.  The world-renowned African singer-songwriter, a two-time Grammy Award winner, delivers a high energy performance celebrating the universal power of music.  The new installment premieres </w:t>
      </w:r>
      <w:r w:rsidDel="00000000" w:rsidR="00000000" w:rsidRPr="00000000">
        <w:rPr>
          <w:rFonts w:ascii="Georgia" w:cs="Georgia" w:eastAsia="Georgia" w:hAnsi="Georgia"/>
          <w:b w:val="1"/>
          <w:rtl w:val="0"/>
        </w:rPr>
        <w:t xml:space="preserve">Saturday, January 23rd at 8pm CT/9pm ET</w:t>
      </w:r>
      <w:r w:rsidDel="00000000" w:rsidR="00000000" w:rsidRPr="00000000">
        <w:rPr>
          <w:rFonts w:ascii="Georgia" w:cs="Georgia" w:eastAsia="Georgia" w:hAnsi="Georgia"/>
          <w:rtl w:val="0"/>
        </w:rPr>
        <w:t xml:space="preserve"> as part of ACL’s Season 41.  ACL airs weekly on PBS stations nationwide (check local listings for times) and full episodes are made available online for a limited time at</w:t>
      </w:r>
      <w:hyperlink r:id="rId8">
        <w:r w:rsidDel="00000000" w:rsidR="00000000" w:rsidRPr="00000000">
          <w:rPr>
            <w:rFonts w:ascii="Georgia" w:cs="Georgia" w:eastAsia="Georgia" w:hAnsi="Georgia"/>
            <w:color w:val="1155cc"/>
            <w:u w:val="single"/>
            <w:rtl w:val="0"/>
          </w:rPr>
          <w:t xml:space="preserve"> http://video.pbs.org/program/austin-city-limits/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9">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Hailing from the West African country of Benin, Kidjo has been a major force in world music since the early 1990s.  </w:t>
      </w:r>
      <w:r w:rsidDel="00000000" w:rsidR="00000000" w:rsidRPr="00000000">
        <w:rPr>
          <w:rFonts w:ascii="Georgia" w:cs="Georgia" w:eastAsia="Georgia" w:hAnsi="Georgia"/>
          <w:highlight w:val="white"/>
          <w:rtl w:val="0"/>
        </w:rPr>
        <w:t xml:space="preserve">Her extraordinary musical achievements </w:t>
      </w:r>
      <w:r w:rsidDel="00000000" w:rsidR="00000000" w:rsidRPr="00000000">
        <w:rPr>
          <w:rFonts w:ascii="Georgia" w:cs="Georgia" w:eastAsia="Georgia" w:hAnsi="Georgia"/>
          <w:highlight w:val="white"/>
          <w:rtl w:val="0"/>
        </w:rPr>
        <w:t xml:space="preserve">span a 25-year discography and thousands of concerts around the world. </w:t>
      </w:r>
      <w:r w:rsidDel="00000000" w:rsidR="00000000" w:rsidRPr="00000000">
        <w:rPr>
          <w:rFonts w:ascii="Georgia" w:cs="Georgia" w:eastAsia="Georgia" w:hAnsi="Georgia"/>
          <w:i w:val="1"/>
          <w:highlight w:val="white"/>
          <w:rtl w:val="0"/>
        </w:rPr>
        <w:t xml:space="preserve">TIME Magazine </w:t>
      </w:r>
      <w:r w:rsidDel="00000000" w:rsidR="00000000" w:rsidRPr="00000000">
        <w:rPr>
          <w:rFonts w:ascii="Georgia" w:cs="Georgia" w:eastAsia="Georgia" w:hAnsi="Georgia"/>
          <w:highlight w:val="white"/>
          <w:rtl w:val="0"/>
        </w:rPr>
        <w:t xml:space="preserve">has called her “Africa’s premier diva” and </w:t>
      </w:r>
      <w:r w:rsidDel="00000000" w:rsidR="00000000" w:rsidRPr="00000000">
        <w:rPr>
          <w:rFonts w:ascii="Georgia" w:cs="Georgia" w:eastAsia="Georgia" w:hAnsi="Georgia"/>
          <w:i w:val="1"/>
          <w:highlight w:val="white"/>
          <w:rtl w:val="0"/>
        </w:rPr>
        <w:t xml:space="preserve">The Guardian</w:t>
      </w:r>
      <w:r w:rsidDel="00000000" w:rsidR="00000000" w:rsidRPr="00000000">
        <w:rPr>
          <w:rFonts w:ascii="Georgia" w:cs="Georgia" w:eastAsia="Georgia" w:hAnsi="Georgia"/>
          <w:highlight w:val="white"/>
          <w:rtl w:val="0"/>
        </w:rPr>
        <w:t xml:space="preserve"> named her one of the Top 100 Inspiring Women in the World.  Kidjo has enjoyed a long history of notable collaborations with greats from the jazz and pop worlds, including Bono, John Legend, Josh Groban, Peter Gabriel, Carlos Santana, Branford Marsalis, Vampire Weekend and Alicia Keys.  </w:t>
      </w:r>
      <w:r w:rsidDel="00000000" w:rsidR="00000000" w:rsidRPr="00000000">
        <w:rPr>
          <w:rFonts w:ascii="Georgia" w:cs="Georgia" w:eastAsia="Georgia" w:hAnsi="Georgia"/>
          <w:rtl w:val="0"/>
        </w:rPr>
        <w:t xml:space="preserve">In addition to her music she is known as a powerful advocate for women’s rights, education and public health issues in Africa.  She is a UNICEF Goodwill Ambassador since 2002 and </w:t>
      </w:r>
      <w:r w:rsidDel="00000000" w:rsidR="00000000" w:rsidRPr="00000000">
        <w:rPr>
          <w:rFonts w:ascii="Georgia" w:cs="Georgia" w:eastAsia="Georgia" w:hAnsi="Georgia"/>
          <w:highlight w:val="white"/>
          <w:rtl w:val="0"/>
        </w:rPr>
        <w:t xml:space="preserve">a 2015 recipient of the prestigious Crystal Award given by the World Economic Forum in Davos, Switzerland, honoring individuals “who not only excel in their art, but also help to improve the world around them.”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In her ACL debut, Kidjo p</w:t>
      </w:r>
      <w:r w:rsidDel="00000000" w:rsidR="00000000" w:rsidRPr="00000000">
        <w:rPr>
          <w:rFonts w:ascii="Georgia" w:cs="Georgia" w:eastAsia="Georgia" w:hAnsi="Georgia"/>
          <w:rtl w:val="0"/>
        </w:rPr>
        <w:t xml:space="preserve">erforms a buoyant, career-spanning, eleven-song set including songs from her 2015 release </w:t>
      </w:r>
      <w:r w:rsidDel="00000000" w:rsidR="00000000" w:rsidRPr="00000000">
        <w:rPr>
          <w:rFonts w:ascii="Georgia" w:cs="Georgia" w:eastAsia="Georgia" w:hAnsi="Georgia"/>
          <w:i w:val="1"/>
          <w:rtl w:val="0"/>
        </w:rPr>
        <w:t xml:space="preserve">Sings</w:t>
      </w:r>
      <w:r w:rsidDel="00000000" w:rsidR="00000000" w:rsidRPr="00000000">
        <w:rPr>
          <w:rFonts w:ascii="Georgia" w:cs="Georgia" w:eastAsia="Georgia" w:hAnsi="Georgia"/>
          <w:rtl w:val="0"/>
        </w:rPr>
        <w:t xml:space="preserve">, a 2016 Grammy nominee for Best World Music Album.  Backed by her four-piece band, the spirited artist takes the stage resplendent in colorful dress, letting her powerful voice soar and her feet move.  “I can see you’re ready for singing and dancing,” she tells the Austin crowd, “so don’t hold back.”  </w:t>
      </w:r>
      <w:r w:rsidDel="00000000" w:rsidR="00000000" w:rsidRPr="00000000">
        <w:rPr>
          <w:rFonts w:ascii="Georgia" w:cs="Georgia" w:eastAsia="Georgia" w:hAnsi="Georgia"/>
          <w:highlight w:val="white"/>
          <w:rtl w:val="0"/>
        </w:rPr>
        <w:t xml:space="preserve">Kidjo is accompanied by Austin choir Veritas for a soulful rendition of Bob Marley’s “Redemption Song.”  She pays homage to the pioneering South African singer Miriam Makeba, widely known as Mother Africa, with a version of her classic “Pata Pata,” delivered in Swahili as a funky, infectious call to dance.  Kidjo ventures out into the audience for “Afirika,” a celebration of the human family, as the crowd happily joins in. The revelry continues as she invites the audience onstage for the luminous “Tumba.” Kidjo leads the packed stage in dance, closing out the hour in a jubilant crescendo, with the entire audience on its feet, showering the singer with cheers and applause in appreciation.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"This is an amazing hour — a very joyful and emotional musical experience,” says ACL executive producer Terry Lickona.  “You will want to dance, and you will cry.  It really stands out in an otherwise great season, and represents what makes Austin City Limits unique.  Angélique is a special artist — and she makes the best dance music on the planet!"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Angélique Kidjo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Ebile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Kulumbu</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Shango Wa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Redemption Song</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Batonga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Malaika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Pata Pata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Awalole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Orisha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Afirika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Tumba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Georgia" w:cs="Georgia" w:eastAsia="Georgia" w:hAnsi="Georgia"/>
          <w:b w:val="1"/>
          <w:rtl w:val="0"/>
        </w:rPr>
        <w:t xml:space="preserve">Season 41 | 2016 Broadcast 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2 </w:t>
        <w:tab/>
        <w:t xml:space="preserve">Alabama Shakes / Vintage Trouble</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9 </w:t>
        <w:tab/>
        <w:t xml:space="preserve">Kendrick Lamar</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16</w:t>
        <w:tab/>
        <w:t xml:space="preserve">Ryan Adams / Shakey Graves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23</w:t>
        <w:tab/>
        <w:t xml:space="preserve">Angélique Kidjo</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30 </w:t>
        <w:tab/>
        <w:t xml:space="preserve">Sleater-Kinney / Heartless Bastards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6 </w:t>
        <w:tab/>
        <w:t xml:space="preserve">Leon Bridges / Nathaniel Rateliff &amp; The Night Sweats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13 </w:t>
        <w:tab/>
        <w:t xml:space="preserve">Tedeschi Trucks Band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highlight w:val="white"/>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in 1974,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tab/>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0">
        <w:r w:rsidDel="00000000" w:rsidR="00000000" w:rsidRPr="00000000">
          <w:rPr>
            <w:rFonts w:ascii="Georgia" w:cs="Georgia" w:eastAsia="Georgia" w:hAnsi="Georgia"/>
            <w:color w:val="1155cc"/>
            <w:highlight w:val="white"/>
            <w:u w:val="single"/>
            <w:rtl w:val="0"/>
          </w:rPr>
          <w:t xml:space="preserve"> acltv.com</w:t>
        </w:r>
      </w:hyperlink>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maureen@coakleypress.com</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acltv.com/" TargetMode="External"/><Relationship Id="rId9" Type="http://schemas.openxmlformats.org/officeDocument/2006/relationships/hyperlink" Target="https://twitter.com/acltv"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angelique-kidjo/" TargetMode="External"/><Relationship Id="rId8" Type="http://schemas.openxmlformats.org/officeDocument/2006/relationships/hyperlink" Target="http://video.pbs.org/program/austin-city-limits/" TargetMode="External"/></Relationships>
</file>