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ab/>
        <w:t xml:space="preserve"> </w:t>
        <w:tab/>
        <w:t xml:space="preserve"> </w:t>
        <w:tab/>
      </w:r>
    </w:p>
    <w:p w:rsidP="00000000" w:rsidRPr="00000000" w:rsidR="00000000" w:rsidDel="00000000" w:rsidRDefault="00000000">
      <w:pPr>
        <w:contextualSpacing w:val="0"/>
        <w:jc w:val="center"/>
      </w:pPr>
      <w:r w:rsidRPr="00000000" w:rsidR="00000000" w:rsidDel="00000000">
        <w:drawing>
          <wp:inline distR="114300" distT="114300" distB="114300" distL="114300">
            <wp:extent cy="1671638" cx="1671638"/>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671638" cx="16716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AUSTIN CITY LIMITS CELEBRATES MODERN AMERICANA MUSIC WITH THE AVETT BROTHERS AND NICKEL CREEK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8"/>
          <w:rtl w:val="0"/>
        </w:rPr>
        <w:t xml:space="preserve">New Episode Premieres January 3,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TX—December 30, 2014—</w:t>
      </w:r>
      <w:hyperlink r:id="rId6">
        <w:r w:rsidRPr="00000000" w:rsidR="00000000" w:rsidDel="00000000">
          <w:rPr>
            <w:rFonts w:cs="Georgia" w:hAnsi="Georgia" w:eastAsia="Georgia" w:ascii="Georgia"/>
            <w:b w:val="1"/>
            <w:color w:val="1155cc"/>
            <w:u w:val="single"/>
            <w:rtl w:val="0"/>
          </w:rPr>
          <w:t xml:space="preserve">Austin City Limits</w:t>
        </w:r>
      </w:hyperlink>
      <w:r w:rsidRPr="00000000" w:rsidR="00000000" w:rsidDel="00000000">
        <w:rPr>
          <w:rFonts w:cs="Georgia" w:hAnsi="Georgia" w:eastAsia="Georgia" w:ascii="Georgia"/>
          <w:rtl w:val="0"/>
        </w:rPr>
        <w:t xml:space="preserve"> (ACL) ushers in the new year with seven brand new shows airing beginning January 2015 as part of the program's fourteen-episode season. ACL returns on </w:t>
      </w:r>
      <w:r w:rsidRPr="00000000" w:rsidR="00000000" w:rsidDel="00000000">
        <w:rPr>
          <w:rFonts w:cs="Georgia" w:hAnsi="Georgia" w:eastAsia="Georgia" w:ascii="Georgia"/>
          <w:b w:val="1"/>
          <w:rtl w:val="0"/>
        </w:rPr>
        <w:t xml:space="preserve">Saturday, January 3rd</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b w:val="1"/>
          <w:rtl w:val="0"/>
        </w:rPr>
        <w:t xml:space="preserve">at 9pm ET/8pm</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b w:val="1"/>
          <w:rtl w:val="0"/>
        </w:rPr>
        <w:t xml:space="preserve">CT</w:t>
      </w:r>
      <w:r w:rsidRPr="00000000" w:rsidR="00000000" w:rsidDel="00000000">
        <w:rPr>
          <w:rFonts w:cs="Georgia" w:hAnsi="Georgia" w:eastAsia="Georgia" w:ascii="Georgia"/>
          <w:rtl w:val="0"/>
        </w:rPr>
        <w:t xml:space="preserve"> with a stellar double-bill featuring music from the heart and soul of America: Americana rockers</w:t>
      </w:r>
      <w:hyperlink r:id="rId7">
        <w:r w:rsidRPr="00000000" w:rsidR="00000000" w:rsidDel="00000000">
          <w:rPr>
            <w:rFonts w:cs="Georgia" w:hAnsi="Georgia" w:eastAsia="Georgia" w:ascii="Georgia"/>
            <w:rtl w:val="0"/>
          </w:rPr>
          <w:t xml:space="preserve"> </w:t>
        </w:r>
      </w:hyperlink>
      <w:hyperlink r:id="rId8">
        <w:r w:rsidRPr="00000000" w:rsidR="00000000" w:rsidDel="00000000">
          <w:rPr>
            <w:rFonts w:cs="Georgia" w:hAnsi="Georgia" w:eastAsia="Georgia" w:ascii="Georgia"/>
            <w:color w:val="1155cc"/>
            <w:rtl w:val="0"/>
          </w:rPr>
          <w:t xml:space="preserve">The Avett Brothers</w:t>
        </w:r>
      </w:hyperlink>
      <w:r w:rsidRPr="00000000" w:rsidR="00000000" w:rsidDel="00000000">
        <w:rPr>
          <w:rFonts w:cs="Georgia" w:hAnsi="Georgia" w:eastAsia="Georgia" w:ascii="Georgia"/>
          <w:rtl w:val="0"/>
        </w:rPr>
        <w:t xml:space="preserve"> and Grammy Award-winning bluegrass trio</w:t>
      </w:r>
      <w:hyperlink r:id="rId9">
        <w:r w:rsidRPr="00000000" w:rsidR="00000000" w:rsidDel="00000000">
          <w:rPr>
            <w:rFonts w:cs="Georgia" w:hAnsi="Georgia" w:eastAsia="Georgia" w:ascii="Georgia"/>
            <w:rtl w:val="0"/>
          </w:rPr>
          <w:t xml:space="preserve"> </w:t>
        </w:r>
      </w:hyperlink>
      <w:hyperlink r:id="rId10">
        <w:r w:rsidRPr="00000000" w:rsidR="00000000" w:rsidDel="00000000">
          <w:rPr>
            <w:rFonts w:cs="Georgia" w:hAnsi="Georgia" w:eastAsia="Georgia" w:ascii="Georgia"/>
            <w:color w:val="1155cc"/>
            <w:rtl w:val="0"/>
          </w:rPr>
          <w:t xml:space="preserve">Nickel Creek</w:t>
        </w:r>
      </w:hyperlink>
      <w:r w:rsidRPr="00000000" w:rsidR="00000000" w:rsidDel="00000000">
        <w:rPr>
          <w:rFonts w:cs="Georgia" w:hAnsi="Georgia" w:eastAsia="Georgia" w:ascii="Georgia"/>
          <w:rtl w:val="0"/>
        </w:rPr>
        <w:t xml:space="preserve">. The upcoming new episodes feature many recent 2015 Grammy nominees, including </w:t>
      </w:r>
      <w:r w:rsidRPr="00000000" w:rsidR="00000000" w:rsidDel="00000000">
        <w:rPr>
          <w:rFonts w:cs="Georgia" w:hAnsi="Georgia" w:eastAsia="Georgia" w:ascii="Georgia"/>
          <w:b w:val="1"/>
          <w:rtl w:val="0"/>
        </w:rPr>
        <w:t xml:space="preserve">Sam Smith</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b w:val="1"/>
          <w:rtl w:val="0"/>
        </w:rPr>
        <w:t xml:space="preserve">Ryan Adams</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b w:val="1"/>
          <w:rtl w:val="0"/>
        </w:rPr>
        <w:t xml:space="preserve">The Black Keys</w:t>
      </w:r>
      <w:r w:rsidRPr="00000000" w:rsidR="00000000" w:rsidDel="00000000">
        <w:rPr>
          <w:rFonts w:cs="Georgia" w:hAnsi="Georgia" w:eastAsia="Georgia" w:ascii="Georgia"/>
          <w:rtl w:val="0"/>
        </w:rPr>
        <w:t xml:space="preserve"> and </w:t>
      </w:r>
      <w:r w:rsidRPr="00000000" w:rsidR="00000000" w:rsidDel="00000000">
        <w:rPr>
          <w:rFonts w:cs="Georgia" w:hAnsi="Georgia" w:eastAsia="Georgia" w:ascii="Georgia"/>
          <w:b w:val="1"/>
          <w:rtl w:val="0"/>
        </w:rPr>
        <w:t xml:space="preserve">Nickel Creek</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color w:val="222222"/>
          <w:rtl w:val="0"/>
        </w:rPr>
        <w:t xml:space="preserve">ACL airs weekly on PBS stations nationwide (check local listings for times) and full episodes are made available online for a limited time at</w:t>
      </w:r>
      <w:hyperlink r:id="rId11">
        <w:r w:rsidRPr="00000000" w:rsidR="00000000" w:rsidDel="00000000">
          <w:rPr>
            <w:rFonts w:cs="Georgia" w:hAnsi="Georgia" w:eastAsia="Georgia" w:ascii="Georgia"/>
            <w:color w:val="1155cc"/>
            <w:u w:val="single"/>
            <w:rtl w:val="0"/>
          </w:rPr>
          <w:t xml:space="preserve"> </w:t>
        </w:r>
      </w:hyperlink>
      <w:hyperlink r:id="rId12">
        <w:r w:rsidRPr="00000000" w:rsidR="00000000" w:rsidDel="00000000">
          <w:rPr>
            <w:rFonts w:cs="Georgia" w:hAnsi="Georgia" w:eastAsia="Georgia" w:ascii="Georgia"/>
            <w:color w:val="1155cc"/>
            <w:rtl w:val="0"/>
          </w:rPr>
          <w:t xml:space="preserve">http://video.pbs.org/program/austin-city-limits/</w:t>
        </w:r>
      </w:hyperlink>
      <w:r w:rsidRPr="00000000" w:rsidR="00000000" w:rsidDel="00000000">
        <w:rPr>
          <w:rFonts w:cs="Georgia" w:hAnsi="Georgia" w:eastAsia="Georgia" w:ascii="Georgia"/>
          <w:color w:val="222222"/>
          <w:rtl w:val="0"/>
        </w:rPr>
        <w:t xml:space="preserve"> immediately following the initial broadcast. The show's official hashtag is </w:t>
      </w:r>
      <w:hyperlink r:id="rId13">
        <w:r w:rsidRPr="00000000" w:rsidR="00000000" w:rsidDel="00000000">
          <w:rPr>
            <w:rFonts w:cs="Georgia" w:hAnsi="Georgia" w:eastAsia="Georgia" w:ascii="Georgia"/>
            <w:color w:val="1155cc"/>
            <w:rtl w:val="0"/>
          </w:rPr>
          <w:t xml:space="preserve">#acltv40</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North Carolina's Avett Brothers are one of the biggest draws in live music today, becoming sought-after headliners over the course of their decade-plus career. Fronted by siblings Scott and Seth Avett, they made their ACL debut as a trio in Season 35 and return for ACL’s milestone Season 40 as a seven-piece, including the addition of a fiddler, drummer and keyboardist. Together they deliver a standout performance — the band's onstage energy is undeniably entertaining as they perform with unbridled joy.  Turning the catchy fan-favorite “Kick Drum Heart” into a rock anthem, the ACL audience handclaps along in time. Seth Avett admits performing on ACL is an especially poignant experience for the brothers.  “We grew up watching this show,” he tells the Austin crowd.  “To us, this is what music looks like on television.” Their ACL appearance is a victory lap of musicianship and revelry, illustrating why they are one of music’s best live acts.</w:t>
      </w:r>
    </w:p>
    <w:p w:rsidP="00000000" w:rsidRPr="00000000" w:rsidR="00000000" w:rsidDel="00000000" w:rsidRDefault="00000000">
      <w:pPr>
        <w:contextualSpacing w:val="0"/>
      </w:pPr>
      <w:r w:rsidRPr="00000000" w:rsidR="00000000" w:rsidDel="00000000">
        <w:rPr>
          <w:rFonts w:cs="Georgia" w:hAnsi="Georgia" w:eastAsia="Georgia" w:ascii="Georgia"/>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“An Avett Brothers show today is worlds apart from five years ago,” says ACL executive producer Terry Lickona. “More energy, more excitement, bigger sound. But what has not changed is that down-to-earth quality that connects with fans now more than ever.”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Bluegrass innovators Nickel Creek celebrated their 25th anniversary with their first new release in nine years, 2014’s </w:t>
      </w:r>
      <w:r w:rsidRPr="00000000" w:rsidR="00000000" w:rsidDel="00000000">
        <w:rPr>
          <w:rFonts w:cs="Georgia" w:hAnsi="Georgia" w:eastAsia="Georgia" w:ascii="Georgia"/>
          <w:i w:val="1"/>
          <w:rtl w:val="0"/>
        </w:rPr>
        <w:t xml:space="preserve">A Dotted Line</w:t>
      </w:r>
      <w:r w:rsidRPr="00000000" w:rsidR="00000000" w:rsidDel="00000000">
        <w:rPr>
          <w:rFonts w:cs="Georgia" w:hAnsi="Georgia" w:eastAsia="Georgia" w:ascii="Georgia"/>
          <w:rtl w:val="0"/>
        </w:rPr>
        <w:t xml:space="preserve">, recently nominated for a Grammy Award for Best Americana Album.  Their highly-anticipated reunion brings them back to the ACL stage for their third appearance together.  The remarkably talented collective—mandolin ace Chris Thile, fiddler Sara Watkins and guitarist Sean Watkins (Sara’s brother), along with accompanying bassist Mark Schatz—showcase their virtuoso musicianship and tight harmonies in their ACL return.  Performing a mix of old and new crowd pleasers, the Southern Californian group take turns on vocals and licks.  Sara sings lead on the breakout single “Destination”, also a 2015 Grammy nominee for Best American Roots Performance.  Sean Watkins handles vocals on the </w:t>
      </w:r>
      <w:r w:rsidRPr="00000000" w:rsidR="00000000" w:rsidDel="00000000">
        <w:rPr>
          <w:rFonts w:cs="Georgia" w:hAnsi="Georgia" w:eastAsia="Georgia" w:ascii="Georgia"/>
          <w:i w:val="1"/>
          <w:rtl w:val="0"/>
        </w:rPr>
        <w:t xml:space="preserve">faux</w:t>
      </w:r>
      <w:r w:rsidRPr="00000000" w:rsidR="00000000" w:rsidDel="00000000">
        <w:rPr>
          <w:rFonts w:cs="Georgia" w:hAnsi="Georgia" w:eastAsia="Georgia" w:ascii="Georgia"/>
          <w:rtl w:val="0"/>
        </w:rPr>
        <w:t xml:space="preserve"> end of the world ode “21st of May”, while Thile dazzles with his mandolin skills on the instrumental “The Elephant in the Corn”.  A gorgeous rendition of Fleetwood Mac’s “The Ledge” follows, with the three childhood friends delighting in each other’s company and talents for an exquisitely fun performance. </w:t>
      </w:r>
    </w:p>
    <w:p w:rsidP="00000000" w:rsidRPr="00000000" w:rsidR="00000000" w:rsidDel="00000000" w:rsidRDefault="00000000">
      <w:pPr>
        <w:contextualSpacing w:val="0"/>
      </w:pPr>
      <w:r w:rsidRPr="00000000" w:rsidR="00000000" w:rsidDel="00000000">
        <w:rPr>
          <w:rFonts w:cs="Georgia" w:hAnsi="Georgia" w:eastAsia="Georgia" w:ascii="Georgia"/>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members of Nickel Creek grew up with each other – literally, and musically,” says executive producer Lickona. Their individual talents merge into something much bigger. The old saying ‘the whole is greater than the sum of its parts’ has never been truer.”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Avett Brothers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Down With the Shine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Head Full of Doubt/Road Full of Promise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Kick Drum Heart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In the Garden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Morning Song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Nickel Creek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Rest Of My Life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Destination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21</w:t>
      </w:r>
      <w:r w:rsidRPr="00000000" w:rsidR="00000000" w:rsidDel="00000000">
        <w:rPr>
          <w:rFonts w:cs="Georgia" w:hAnsi="Georgia" w:eastAsia="Georgia" w:ascii="Georgia"/>
          <w:vertAlign w:val="superscript"/>
          <w:rtl w:val="0"/>
        </w:rPr>
        <w:t xml:space="preserve">st</w:t>
      </w:r>
      <w:r w:rsidRPr="00000000" w:rsidR="00000000" w:rsidDel="00000000">
        <w:rPr>
          <w:rFonts w:cs="Georgia" w:hAnsi="Georgia" w:eastAsia="Georgia" w:ascii="Georgia"/>
          <w:rtl w:val="0"/>
        </w:rPr>
        <w:t xml:space="preserve"> of May</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Elephant in the Corn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Ledge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You Don't Know What's Going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 2015 Broadcast Schedule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3, 2015 | The Avett Brothers / Nickel Creek</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10, 2015 | Spoon / White Denim</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17, 2015 | Sam Smith / Future Islands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24, 2015 | Ryan Adams / Jenny Lewis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31, 2015 | The Black Keys / J. Roddy Walston &amp; The Business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February 7, 2015 | Foo Fighters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February 14, 2015 | Austin City Limits Hall of Fame Special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About Austin City Limits</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color w:val="222222"/>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This year marks the 40th anniversary of the pilot episode taped in 1974 with Willie Nelson.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 </w:t>
      </w:r>
      <w:hyperlink r:id="rId14">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4"/><Relationship Target="fontTable.xml" Type="http://schemas.openxmlformats.org/officeDocument/2006/relationships/fontTable" Id="rId2"/><Relationship Target="http://video.pbs.org/program/austin-city-limits/" Type="http://schemas.openxmlformats.org/officeDocument/2006/relationships/hyperlink" TargetMode="External" Id="rId12"/><Relationship Target="https://twitter.com/acltv"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acltv.com/2014/08/26/nickel-creeks-new-gems-and-old-favorites/" Type="http://schemas.openxmlformats.org/officeDocument/2006/relationships/hyperlink" TargetMode="External" Id="rId10"/><Relationship Target="numbering.xml" Type="http://schemas.openxmlformats.org/officeDocument/2006/relationships/numbering" Id="rId3"/><Relationship Target="http://video.pbs.org/program/austin-city-limits/" Type="http://schemas.openxmlformats.org/officeDocument/2006/relationships/hyperlink" TargetMode="External" Id="rId11"/><Relationship Target="http://acltv.com/2014/08/26/nickel-creeks-new-gems-and-old-favorites/"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acltv.com/2014/10/07/the-return-of-the-avett-brothers/" Type="http://schemas.openxmlformats.org/officeDocument/2006/relationships/hyperlink" TargetMode="External" Id="rId8"/><Relationship Target="http://acltv.com/2014/10/07/the-return-of-the-avett-brother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ACL_4008_AVETTBROSNICKELCREEK_final.docx</dc:title>
</cp:coreProperties>
</file>